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>湘西州按比例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  <w:t>安排残疾人就业情况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  <w:t>公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31516"/>
          <w:spacing w:val="0"/>
          <w:sz w:val="28"/>
          <w:szCs w:val="28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131516"/>
          <w:spacing w:val="0"/>
          <w:sz w:val="28"/>
          <w:szCs w:val="28"/>
          <w:lang w:val="en-US" w:eastAsia="zh-CN"/>
        </w:rPr>
        <w:t>州本级</w:t>
      </w:r>
      <w:r>
        <w:rPr>
          <w:rFonts w:hint="eastAsia" w:ascii="宋体" w:hAnsi="宋体" w:eastAsia="宋体" w:cs="宋体"/>
          <w:i w:val="0"/>
          <w:iCs w:val="0"/>
          <w:caps w:val="0"/>
          <w:color w:val="131516"/>
          <w:spacing w:val="0"/>
          <w:sz w:val="28"/>
          <w:szCs w:val="28"/>
        </w:rPr>
        <w:t>按比例安排残疾人就业年审所核定确认的</w:t>
      </w:r>
      <w:r>
        <w:rPr>
          <w:rFonts w:hint="eastAsia" w:ascii="宋体" w:hAnsi="宋体" w:eastAsia="宋体" w:cs="宋体"/>
          <w:i w:val="0"/>
          <w:iCs w:val="0"/>
          <w:caps w:val="0"/>
          <w:color w:val="131516"/>
          <w:spacing w:val="0"/>
          <w:sz w:val="28"/>
          <w:szCs w:val="28"/>
          <w:lang w:val="en-US" w:eastAsia="zh-CN"/>
        </w:rPr>
        <w:t>州直企事业</w:t>
      </w:r>
      <w:r>
        <w:rPr>
          <w:rFonts w:hint="eastAsia" w:ascii="宋体" w:hAnsi="宋体" w:eastAsia="宋体" w:cs="宋体"/>
          <w:i w:val="0"/>
          <w:iCs w:val="0"/>
          <w:caps w:val="0"/>
          <w:color w:val="131516"/>
          <w:spacing w:val="0"/>
          <w:sz w:val="28"/>
          <w:szCs w:val="28"/>
        </w:rPr>
        <w:t>单位已安排残疾人就业情况，予以公示。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湘西自治州残疾人联合会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2022年12月26日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3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621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已安排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中共湘西自治州纪律检查委员会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湘西开放大学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湘西自治州供销合作社联合社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湘西自治州交通科学技术研究院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湘西自治州中级人民法院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湘西自治州农业机械事务中心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湘西自治州团结报社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湘西自治州市场监督管理局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湘西自治州民族特殊教育学校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湘西自治州食品药品检验所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湘西自治州畜牧水产事物中心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湘西自治州创业创新指导服务中心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湘西自治州强制隔离戒毒所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湘西自治州举重人才基地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中国共产党湘西自治州委员会党校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湘西自治州水运事务中心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湘西自治州人民代表大会常务委员会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湘西自治州第二民族中学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湘西民族职业技术学院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湘西自治州疾病预防控制中心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湘西州农科院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湘西自治州商务局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湘西自治州肿瘤医院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湖南省吉首监狱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湘西州民族中学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湘西自治州人民医院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湘西州土家族苗族自治州广播电视台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吉首大学师范学院附属小学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湘西武陵山民族文艺传习中心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湘西土家族苗族自治州民族中医院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湘西州交通运输综合行政执法局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湘西州质量检验及计量检定中心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湘西自治州医疗保障事务中心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湘西州卫生健康委员会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湘西州民族实验小学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州公路建设养护中心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国家税务局湖南湘西经济开发区税务局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吉首大学师范学院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中国邮政集团公司湘西自治州分公司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湘西鑫诚工程管理咨询有限公司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中国农业银行股份有限公司湘西分行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中国建设银行股份有限公司湘西自治州分行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湖南吉凤金湘玺酒店有限公司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湖南雷鸣西部民爆有限公司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湘西自治州远山保安服务有限责任公司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酒鬼酒股份有限公司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湖南省烟草公司湘西州公司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湘西自治州边城国际大酒店有限责任公司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中央储备粮湘西州直属库有限公司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湖南恒瑞钢结构工程有限公司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湘西自治州德能电力建设有限公司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中国人民财产保险股份有限公司湘西自治州分公司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国网湖南省电力有限公司湘西供电分公司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四川艾明物业管理有限公司吉凤分公司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湘西自治州天下游运输有限责任公司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财信吉祥人寿保险股份有限公司湘西中心支公司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中国人寿保险股份有限公司湘西分公司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湖南省神秘湘西文化旅游发展有限公司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湘西快手技术服务有限公司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中国工商银行股份有限公司湘西分行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湖南吉首金隆（香港）发展有限公司凯莱大饭店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长沙肯德基有限公司吉首边城店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泰康人寿保险有限责任公司湖南吉首中心支公司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155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ZTI4MmViMGM5YjA0ZGI0NzMyNjA5N2JhNTYzZDkifQ=="/>
  </w:docVars>
  <w:rsids>
    <w:rsidRoot w:val="5DC2603C"/>
    <w:rsid w:val="005641A0"/>
    <w:rsid w:val="04A43C6F"/>
    <w:rsid w:val="05162EE3"/>
    <w:rsid w:val="05506F68"/>
    <w:rsid w:val="084F5179"/>
    <w:rsid w:val="0A7B30D3"/>
    <w:rsid w:val="11101B82"/>
    <w:rsid w:val="29736AD1"/>
    <w:rsid w:val="2C3A38C6"/>
    <w:rsid w:val="318E7B3A"/>
    <w:rsid w:val="36AE5EAF"/>
    <w:rsid w:val="3A535C51"/>
    <w:rsid w:val="3D527C28"/>
    <w:rsid w:val="3DC278DB"/>
    <w:rsid w:val="3FD669D9"/>
    <w:rsid w:val="4208730F"/>
    <w:rsid w:val="42BD0BDC"/>
    <w:rsid w:val="48715C58"/>
    <w:rsid w:val="48B77251"/>
    <w:rsid w:val="49BF21B9"/>
    <w:rsid w:val="4AAC3789"/>
    <w:rsid w:val="4B49722A"/>
    <w:rsid w:val="4CDE39A2"/>
    <w:rsid w:val="4F522B51"/>
    <w:rsid w:val="51FF7392"/>
    <w:rsid w:val="522602C5"/>
    <w:rsid w:val="545C3B2A"/>
    <w:rsid w:val="58BF06FB"/>
    <w:rsid w:val="5C85148E"/>
    <w:rsid w:val="5D3F66DF"/>
    <w:rsid w:val="5DC2603C"/>
    <w:rsid w:val="6B225676"/>
    <w:rsid w:val="6D793547"/>
    <w:rsid w:val="6F0B4673"/>
    <w:rsid w:val="6F0D3F47"/>
    <w:rsid w:val="78624DA0"/>
    <w:rsid w:val="7BEC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1082</Words>
  <Characters>1165</Characters>
  <Lines>0</Lines>
  <Paragraphs>0</Paragraphs>
  <TotalTime>4</TotalTime>
  <ScaleCrop>false</ScaleCrop>
  <LinksUpToDate>false</LinksUpToDate>
  <CharactersWithSpaces>1167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2021-12-14T06:31:00Z</dcterms:created>
  <dc:creator>伤○愈</dc:creator>
  <cp:lastModifiedBy>伤○愈</cp:lastModifiedBy>
  <cp:lastPrinted>2021-12-14T07:52:00Z</cp:lastPrinted>
  <dcterms:modified xsi:type="dcterms:W3CDTF">2022-12-27T02:00:57Z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76E406E19F6343A182AA06774EC9C465</vt:lpwstr>
  </property>
</Properties>
</file>